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Бутурлинского муниципального округа </w:t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12.02.2026г. № 198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орядок (п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лан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действий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по ликвидации последствий аварийных ситуаций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в сфере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теплоснабжения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Бутурлинском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муниципально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м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округ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е Нижегородской области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1. Общие положения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pStyle w:val="735"/>
        <w:ind w:left="0"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1.1.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Настоящий Порядок (план) действий по ликвидации последствий аварийных ситуаций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в сфере теплоснабжения в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Бутурлинском муниципальном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округе Нижегородской области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(далее – Порядок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Жилищного кодекса Российской Федерации;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21 декабря 1994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68-ФЗ «О защите населения и территорий от чрезвычайных ситуаций природного и техногенного характера»;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 октября 2003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27 июля 2010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190-ФЗ «О теплоснабжении»;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7 декабря 2011 г. № 416-ФЗ «О водоснабжении и водоотведении»;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24 марта 1997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334 «О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30 декабря 2003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794 «О единой государственной системе предупреждения и ликвидации чрезвычайных ситуаций»;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6 мая 2011 г.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№ 354 «О предоставлении коммунальных услуг собственникам и пользователям помещений в многоквартирных домах и жилых домов»;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2 июня 2022 г.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 xml:space="preserve">№ 1014 «О расследовании причин аварийных ситуаций в сфере теплоснабжения»;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Российской Федерации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сентября 2018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757 «Об утверждении Правил переключений в электроустановках»;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от 14 мая 2025 г. № 511 «Об утверждении Правил технической эксплуатации объектов теплоснабжения и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теплопотребляющих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установок»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/>
      <w:bookmarkStart w:id="0" w:name="p_1"/>
      <w:r/>
      <w:bookmarkEnd w:id="0"/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Госстроя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России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20 августа 2001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Российской Федерации от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ноября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2024 г.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риказа Министерства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регионального развития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14 апреля 2008 г.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риказа МЧС России от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5 июля 2021 г.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№ 429 «Об установлении критериев информации о чрезвычайных ситуациях природного и техногенного характера».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</w:r>
    </w:p>
    <w:p>
      <w:pPr>
        <w:pStyle w:val="735"/>
        <w:ind w:left="0"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1.2.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Порядок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разработан в целях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округа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мобилизации усилий по ликвидации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аварий (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далее также –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технологически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я, аварийные ситуации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последствий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аварийных ситуаций на объектах теплоснабжения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снижения уровня технологических нарушений и аварийных ситуаций на объектах теплоснабжения, минимизаци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последствий возникновения технологических нарушений и аварийных ситуаций на объектах теплоснабжения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735"/>
        <w:ind w:left="0" w:firstLine="709"/>
        <w:jc w:val="both"/>
        <w:spacing w:line="276" w:lineRule="auto"/>
        <w:shd w:val="clear" w:color="auto" w:fill="ffffff"/>
        <w:tabs>
          <w:tab w:val="left" w:pos="709" w:leader="none"/>
        </w:tabs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1.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pStyle w:val="735"/>
        <w:ind w:left="0" w:firstLine="709"/>
        <w:jc w:val="both"/>
        <w:spacing w:line="276" w:lineRule="auto"/>
        <w:shd w:val="clear" w:color="auto" w:fill="ffffff"/>
        <w:tabs>
          <w:tab w:val="left" w:pos="709" w:leader="none"/>
        </w:tabs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1.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Электронное моделирование аварийных ситуаций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в системах теплоснабжения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округа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не применяется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pStyle w:val="735"/>
        <w:ind w:left="0"/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2. С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ценарии наиболее вероятных аварий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и наиболее опасных по последствиям аварий, а также источники (места) их возникновения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bCs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Порядок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составляется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д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ля: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определения возможных сценариев возникновения и развития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конкретизации технических средств и действий производственного персонала и спецподразделений по локализации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создания благоприятных условий для успешного выполнения мероприятий по ликвидации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бесперебойного удовлетворения потребностей населения при ликвидации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Наиболее вероятными причинами возникновения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в работе системы теплоснабжения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могут послужить: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неблагоприятные погодно-климатические явления (ураганы, смерчи, бури, сильные ветры, сильные морозы, снегопады и метели, обледенение и гололед);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человеческий фактор (неправильные действия персонала);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прекращение подачи электрической энергии, холодной воды, топлива на источник тепловой энергии;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внепланов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останов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ка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(выход из строя) оборудования на объектах системы теплоснабжения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внешние воздействия (прилеты БПЛА, террористические акты).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.2. Сценарии наиболее вероятных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аварий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 наиболее опасных по последствиям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аварий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а также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источники (места)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их возникновения указаны в Приложени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1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Порядку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Количество сил и средств, используемых для локализации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и ликвидации последствий аварий на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объекте теплоснабжения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(далее - силы и средства)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</w:rPr>
        <w:t xml:space="preserve">В режиме повседневной деятельности на объектах теплоснабжения осуществляется дежурство специалистов. 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работам при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привлекаются специалисты: диспетчерской службы, оперативный персонал котельных, аварийно-ремонтные бригады, спе</w:t>
      </w:r>
      <w:r>
        <w:rPr>
          <w:rFonts w:ascii="Times New Roman" w:hAnsi="Times New Roman" w:cs="Times New Roman"/>
          <w:sz w:val="28"/>
        </w:rPr>
        <w:t xml:space="preserve">циальная техника и оборудование (</w:t>
      </w:r>
      <w:r>
        <w:rPr>
          <w:rFonts w:ascii="Times New Roman" w:hAnsi="Times New Roman" w:cs="Times New Roman"/>
          <w:sz w:val="28"/>
        </w:rPr>
        <w:t xml:space="preserve">как в рабочее </w:t>
      </w:r>
      <w:r>
        <w:rPr>
          <w:rFonts w:ascii="Times New Roman" w:hAnsi="Times New Roman" w:cs="Times New Roman"/>
          <w:sz w:val="28"/>
        </w:rPr>
        <w:t xml:space="preserve">время</w:t>
      </w:r>
      <w:r>
        <w:rPr>
          <w:rFonts w:ascii="Times New Roman" w:hAnsi="Times New Roman" w:cs="Times New Roman"/>
          <w:sz w:val="28"/>
        </w:rPr>
        <w:t xml:space="preserve">, так и в круглосуточном режиме)</w:t>
      </w:r>
      <w:r>
        <w:rPr>
          <w:rFonts w:ascii="Times New Roman" w:hAnsi="Times New Roman" w:cs="Times New Roman"/>
          <w:sz w:val="28"/>
        </w:rPr>
        <w:t xml:space="preserve"> организаций, в ведении которых находятся объекты теплоснабжения. 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Время готовности к работам по ликвидации аварии - 45 мин. 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Для ликвидации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cs="Times New Roman"/>
          <w:sz w:val="28"/>
        </w:rPr>
        <w:t xml:space="preserve"> создаются и используются: 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резервы финансовых и материальных ресурсов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резервы финансовых и материальных ресурсов организаций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функционирующих в системах теплоснабжения </w:t>
      </w:r>
      <w:r>
        <w:rPr>
          <w:rFonts w:ascii="Times New Roman" w:hAnsi="Times New Roman" w:cs="Times New Roman"/>
          <w:sz w:val="28"/>
        </w:rPr>
        <w:t xml:space="preserve">на территории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Количество сил и средств, используемых для локализации 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 объектах теплоснабжения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приведено в таблице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6"/>
        <w:gridCol w:w="2163"/>
        <w:gridCol w:w="577"/>
        <w:gridCol w:w="575"/>
        <w:gridCol w:w="598"/>
        <w:gridCol w:w="896"/>
        <w:gridCol w:w="899"/>
        <w:gridCol w:w="1402"/>
        <w:gridCol w:w="835"/>
        <w:gridCol w:w="896"/>
        <w:gridCol w:w="1105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>
              <w:rPr>
                <w:rFonts w:ascii="Times New Roman" w:hAnsi="Times New Roman" w:eastAsia="Calibri" w:cs="Times New Roman"/>
                <w:spacing w:val="2"/>
                <w:sz w:val="24"/>
                <w:szCs w:val="24"/>
              </w:rPr>
              <w:t xml:space="preserve">Бутурлинского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2"/>
                <w:sz w:val="24"/>
                <w:szCs w:val="24"/>
              </w:rPr>
              <w:t xml:space="preserve">округа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всего бригад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общая численность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9" w:type="pct"/>
            <w:vAlign w:val="center"/>
            <w:textDirection w:val="lrTb"/>
            <w:noWrap w:val="false"/>
          </w:tcPr>
          <w:p>
            <w:pPr>
              <w:ind w:left="92" w:right="184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том числе аварийных бригад РСО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8" w:type="pct"/>
            <w:vAlign w:val="center"/>
            <w:textDirection w:val="lrTb"/>
            <w:noWrap w:val="false"/>
          </w:tcPr>
          <w:p>
            <w:pPr>
              <w:ind w:left="100" w:right="142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том числе организаций, осуществляющих эксплуатацию жилищного фонда (УК, ТСЖ, ТСН и др.)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</w:tr>
      <w:tr>
        <w:tblPrEx/>
        <w:trPr>
          <w:cantSplit/>
          <w:trHeight w:val="2887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всего бригад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7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общая численность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всего бригад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общая численность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Бутурлинский муниципальный округ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3.3. Обеспечение правильности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 минимизации ущерба от их возникновения во многом зависит от согласованности действий всех участников и ответственных лиц.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ответственные лица </w:t>
      </w:r>
      <w:r>
        <w:rPr>
          <w:rFonts w:ascii="Times New Roman" w:hAnsi="Times New Roman" w:cs="Times New Roman"/>
          <w:sz w:val="28"/>
          <w:szCs w:val="28"/>
        </w:rPr>
        <w:t xml:space="preserve">обязаны четко знать и строго выполнять установленный порядок своих действий.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ответственных лицах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к Порядку.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3.4.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Телефоны для оперативной связи приведены в Приложении 3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к Порядку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bCs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4.1.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 ликвидации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на объектах жилищно-коммунального хозяйства необходимо руководствоваться нормами постановления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Правительства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Н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ижегородской области от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27 декабря 2005 г.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     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  <w:t xml:space="preserve">№ 323 «О единой системе оперативно-диспетчерского управления при авариях и чрезвычайных ситуациях Нижегородской области».</w:t>
      </w:r>
      <w:r>
        <w:rPr>
          <w:rFonts w:ascii="Times New Roman" w:hAnsi="Times New Roman" w:eastAsia="Calibri" w:cs="Times New Roman"/>
          <w:bCs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4.2. При получении сигнала (сообщения) о технологическом нарушении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начальник смены тепловых сетей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операторы котельных 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тепловых сетей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оперативно-диспетчерской службы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обязаны: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2. Немедленно направить к месту повреждения аварийно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восстановительные бригады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.3. Сообщить о случившемся руководству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округа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 начальникам центрально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ремонтной, оперативно-диспетчерской служб, аварийно-восстановительной бригады все имеющиеся сведения о характере повреждения, ориентировочном наборе материалов, перечне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транспорта,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машин и механизмов, необходи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мых для ликвидации повреждения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.4. Немедленно принять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красных фонарей для предотвращения несчастных случаев с пешеходами и авто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транспортом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спецподразделений МЧС,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ГИБДД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.5. Получив точную информацию о характере и месте повреждения, принять срочные меры по отключению поврежденного участка тепловой сети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.6. Принять меры по ликвидации повреждения и по предотвращению развития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(по локализации повреждения), усугубления ее последствий и восстановлению нормального режима работы тепловой сети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.7. Вести записи обо всех действиях в оперативном журнале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З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апись всех диспетчерских оперативных переговоров по ликвидации повреждения ведется в автоматическом режиме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.8. Бригады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центрально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ремонтной 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оперативно-диспетчерской службы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(при необходимости подрядные организации) по прибытии на место повреждения поступают в распоряжение лица, ответственного за ликвидацию 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9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Руководитель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центрально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ремонтной службы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оперативно-диспетчерской службы,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начальник смены тепловых сетей 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оператор котельных обязан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предупредить, а при необходимости вызвать ответственных представителей других 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0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Если работа по ликвидации повреждения по своему объему не может быть выполнена силами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центрально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ремонтной службы, то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руководитель службы должен доложить об этом ответственному за ликвидацию технологического нарушения лицу или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начальнику смены тепловых сетей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с теплоснабжающей организацией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Ответственный за ликвидацию технологического нарушения обязан через функциональные отделы и службы обеспечить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центрально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ремонтные службы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необходимыми материалами,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транспортом,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машинами, механизмами, а также соответствующей технической документацией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л используется по усмотрению лица, руководящего ликвидацией технологического нарушения.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Все переключения в аварийных условиях производятся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Включение отремонтированного после повреждения участка тепловой сети производится после приемки работ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По окончании ремонтных работ на трубопроводах тепловых сетей принимаются меры по заполнению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теплоносителем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отремонтированного участка теплотрасс. Общее руководство операциями по пуску участков трубопроводов осуществляет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оперативно-диспетчерская служба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Для предотвращения и ликвидации технологических нарушений на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центральных тепловых пунктах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 котельных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эксплуатируемых без постоянного дежурного персонала, должны использоваться устройства автоматики и телемеханики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7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В целях оперативного выполнения работ по ликвидации технологических нарушений ответственное лицо организует получение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из мест хранения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всех необходимых материальных ценностей из аварийного запаса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br/>
        <w:t xml:space="preserve">(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в случае отсутствия/недостаточности материальных ценностей в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аварийном запасе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выдача производится из производственно-эксплуатационного запаса).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4.2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8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программного комплекса (при наличии)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фотоматериалы, выписки из оперативных документов,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да и производственного контроля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осуществляет сбор необходимой для расследования информации.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  <w:outlineLvl w:val="2"/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  <w:outlineLvl w:val="2"/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Со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став и дислокация сил и средств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.1. Координацию работ по ликвидации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осуществляет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единая теплоснабжающая организация,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определен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ная постановлением администрации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округа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5.2.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Состав сил и средств определяется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теплоснабжающей организацией самостоятельно в соответствии с утвержденным штатным расписанием.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специалистами, в том числе операторами котельных, на объектовом уровне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дежурно-диспетчерская служба организации.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5.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Дислокация средств к месту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осуществляется персоналом из мест их хранения. Необходимый транспорт, механизмы и инструмент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для выполнения работ по ликвидации повреждений обеспечивает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ресурсоснабжающая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организация.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5.4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Состав и дислокация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приведены в Приложении 4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к Порядку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6.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Перечень мероприятий, направленных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на обе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спечение безопасности населения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6.1. При прибытии на место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старший по должности из числа персонала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аварийно-восстановительной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бригады эксплуатирующей организации обязан: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составить общую картину характера, места, размеров аварии;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организовать предотвращение развития аварии;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принять меры к обеспечению безопасности персонала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находящегося в зоне работы;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получить от дежурног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 диспетчера по средствам связи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для пров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едения необходимых переключений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план действий, измененный режим теплоснабжения, на основании имеющихся источников (электронного моделирования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(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 наличии).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определить последовательность отключения от теплоносителя, когда и какие инженерные системы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при необходимости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должны быть опорожнены;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определить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необходимость прибытия дополнительных сил и средств для устранения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6.2.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Самостоятельные действия персонала по ликвидации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не должны противоречить требованиям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теплопотребляющих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установок, утвержденных приказом Министерства энергетики Российской Федерации </w:t>
      </w:r>
      <w:r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от 14 мая 2025 г. № 511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правил техники безопасности, производственных инструкций.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6.3. О сложившейся обстановке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ресурсоснабжающая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организация информирует население через средства массовой информации, а также передает данные в единую дежурно-диспетчерскую службу (ЕДДС) и администрацию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округа Нижегородской области для размещения информации на официальном сайте администрации и последующем информировании населения.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 угрозе распространения аварии за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пределы территории предприятия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ответственный за ликвидацию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сообщает в кратчайшие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сроки в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дминистрацию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округа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информацию о возможных последствиях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в случае необходимости привлекает службу скорой медицинской помощи, подразделения МВД,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ГИБДД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ascii="Times New Roman" w:hAnsi="Times New Roman" w:eastAsia="Calibri" w:cs="Times New Roman"/>
          <w:b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7. Порядок организации материально-технического, инженерного и финансового обеспечения операций по локализации и ликвидации аварий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на объекте теплоснабжения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7.1.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Для выполнения работ по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требуется привлечение сил и средств, достаточных для решения поставленных задач в нормативные сроки.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7.2.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Для устранения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создаются и используются: резервы финансовых средств и материально-технического обеспечения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ресурсоснабжающих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управляющих (обслуживающих) организаций.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Объёмы резервов финансовых ресурсов (резервных фондов) определяются ежегодно и утверждаются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локальным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актом организации и должны обеспечивать проведение аварийно-восстановительных работ в нормативные сроки.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 расчете резерва финансовых средств для локализации 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целесообразно руководствоваться методическими документами по проведению оценки ущерба от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на опасных производственных объектах.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технологического нарушения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стоимость ремонтно-восстановительных работ и возмещения вреда здоровью людей, материального ущерба и прочее.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7.3.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К работам при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7.4. Материально-технические средства, задействованные в мероприятиях по локализации 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, используются только для обеспечения операций по локализации и ликвидации последствий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технологических нарушений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 объекте.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br w:type="page" w:clear="all"/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Приложение 2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к Порядку (плану) действий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по ликвидации последствий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аварийных ситуаций в сфере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теплоснабжения в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Бутурлинском муниципальном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округе Нижегородской области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лицах </w:t>
      </w:r>
      <w:r>
        <w:rPr>
          <w:rFonts w:ascii="Times New Roman" w:hAnsi="Times New Roman" w:eastAsia="Calibri" w:cs="Times New Roman"/>
          <w:b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tbl>
      <w:tblPr>
        <w:tblStyle w:val="740"/>
        <w:tblW w:w="0" w:type="auto"/>
        <w:tblInd w:w="140" w:type="dxa"/>
        <w:tblLook w:val="04A0" w:firstRow="1" w:lastRow="0" w:firstColumn="1" w:lastColumn="0" w:noHBand="0" w:noVBand="1"/>
      </w:tblPr>
      <w:tblGrid>
        <w:gridCol w:w="674"/>
        <w:gridCol w:w="4991"/>
        <w:gridCol w:w="4382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49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Должностное лицо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(ФИО, должность)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43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Контактные номера телефона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Савинов Вадим Валерьевич, заместитель главы администрации, начальник управления ЖКХ и строительства администрации </w:t>
            </w:r>
            <w:r>
              <w:rPr>
                <w:rFonts w:ascii="Times New Roman" w:hAnsi="Times New Roman" w:eastAsia="Calibri" w:cs="Times New Roman"/>
                <w:spacing w:val="2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88317254516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Шмелев Сергей Вениаминович, директор МУП «Бутурлинский водоканал»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88317251106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Коннов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Василий Александрович, директор ООО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Бутурлинское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ЖКХ»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88317252215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Горбунов Денис Владимирович, директор ООО «Бутурлинский водоканал»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88317251905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br w:type="page" w:clear="all"/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Приложение 3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к Порядку (плану) действий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по ликвидации последствий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аварийных ситуаций в сфере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теплоснабжения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округе Нижегородской области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p>
      <w:pPr>
        <w:ind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Телефоны для оперативной связи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</w:r>
    </w:p>
    <w:p>
      <w:pPr>
        <w:ind w:right="160" w:firstLine="70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cs="Times New Roman"/>
          <w:b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Диспетчер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энергоснабжающих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организаций: 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МУП «Бутурлинский водоканал»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88317251106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ООО «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Бутурлинское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ЖКХ»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88317252123, 88317252215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Пожарные части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101, 112 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Скорая медицинская помощь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103, 112 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Единая дежурная диспетчерская служба (ЕДДС)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Бутурлинского муниципального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88317253908, 88317252193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Управляющие организации: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ООО «Бутурлинский водоканал»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88317253950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9356"/>
        <w:jc w:val="center"/>
        <w:shd w:val="clear" w:color="auto" w:fill="ffffff"/>
        <w:tabs>
          <w:tab w:val="left" w:pos="8789" w:leader="none"/>
        </w:tabs>
        <w:rPr>
          <w:rFonts w:ascii="Times New Roman" w:hAnsi="Times New Roman" w:eastAsia="Calibri" w:cs="Times New Roman"/>
          <w:spacing w:val="2"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eastAsia="Calibri" w:cs="Times New Roman"/>
          <w:spacing w:val="2"/>
          <w:sz w:val="28"/>
          <w:szCs w:val="28"/>
        </w:rPr>
      </w:r>
    </w:p>
    <w:sectPr>
      <w:headerReference w:type="default" r:id="rId9"/>
      <w:footnotePr/>
      <w:endnotePr/>
      <w:type w:val="nextPage"/>
      <w:pgSz w:w="12240" w:h="15840" w:orient="portrait"/>
      <w:pgMar w:top="851" w:right="851" w:bottom="851" w:left="85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Bookman Old Style">
    <w:panose1 w:val="02050604050505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9114924"/>
      <w:docPartObj>
        <w:docPartGallery w:val="Page Numbers (Top of Page)"/>
        <w:docPartUnique w:val="true"/>
      </w:docPartObj>
      <w:rPr>
        <w:rFonts w:ascii="Times New Roman" w:hAnsi="Times New Roman"/>
        <w:sz w:val="28"/>
        <w:szCs w:val="28"/>
      </w:rPr>
    </w:sdtPr>
    <w:sdtContent>
      <w:p>
        <w:pPr>
          <w:pStyle w:val="729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729"/>
      <w:ind w:right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" w:hanging="104"/>
      </w:pPr>
      <w:rPr>
        <w:rFonts w:hint="default" w:ascii="Times New Roman" w:hAnsi="Times New Roman" w:eastAsia="Times New Roman" w:cs="Times New Roman"/>
        <w:spacing w:val="-3"/>
        <w:sz w:val="12"/>
        <w:szCs w:val="1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0" w:hanging="360"/>
        <w:tabs>
          <w:tab w:val="num" w:pos="105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10" w:hanging="720"/>
        <w:tabs>
          <w:tab w:val="num" w:pos="1410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10" w:hanging="720"/>
        <w:tabs>
          <w:tab w:val="num" w:pos="141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70" w:hanging="1080"/>
        <w:tabs>
          <w:tab w:val="num" w:pos="177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70" w:hanging="1080"/>
        <w:tabs>
          <w:tab w:val="num" w:pos="177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30" w:hanging="1440"/>
        <w:tabs>
          <w:tab w:val="num" w:pos="213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90" w:hanging="1800"/>
        <w:tabs>
          <w:tab w:val="num" w:pos="249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90" w:hanging="1800"/>
        <w:tabs>
          <w:tab w:val="num" w:pos="249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50" w:hanging="2160"/>
        <w:tabs>
          <w:tab w:val="num" w:pos="2850" w:leader="none"/>
        </w:tabs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" w:hanging="128"/>
      </w:pPr>
      <w:rPr>
        <w:rFonts w:hint="default" w:ascii="Times New Roman" w:hAnsi="Times New Roman" w:eastAsia="Times New Roman" w:cs="Times New Roman"/>
        <w:spacing w:val="-5"/>
        <w:sz w:val="14"/>
        <w:szCs w:val="1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" w:hanging="2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0" w:hanging="360"/>
        <w:tabs>
          <w:tab w:val="num" w:pos="105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"/>
      <w:lvlJc w:val="left"/>
      <w:pPr>
        <w:ind w:left="1050" w:hanging="360"/>
        <w:tabs>
          <w:tab w:val="num" w:pos="1050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"/>
      <w:lvlJc w:val="left"/>
      <w:pPr>
        <w:ind w:left="1410" w:hanging="720"/>
        <w:tabs>
          <w:tab w:val="num" w:pos="141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1410" w:hanging="720"/>
        <w:tabs>
          <w:tab w:val="num" w:pos="141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"/>
      <w:lvlJc w:val="left"/>
      <w:pPr>
        <w:ind w:left="1410" w:hanging="720"/>
        <w:tabs>
          <w:tab w:val="num" w:pos="141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"/>
      <w:lvlJc w:val="left"/>
      <w:pPr>
        <w:ind w:left="1770" w:hanging="1080"/>
        <w:tabs>
          <w:tab w:val="num" w:pos="177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"/>
      <w:lvlJc w:val="left"/>
      <w:pPr>
        <w:ind w:left="1770" w:hanging="1080"/>
        <w:tabs>
          <w:tab w:val="num" w:pos="177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30" w:hanging="1440"/>
        <w:tabs>
          <w:tab w:val="num" w:pos="213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30" w:hanging="1440"/>
        <w:tabs>
          <w:tab w:val="num" w:pos="2130" w:leader="none"/>
        </w:tabs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5"/>
      <w:numFmt w:val="decimal"/>
      <w:isLgl/>
      <w:suff w:val="tab"/>
      <w:lvlText w:val="%1.%2."/>
      <w:lvlJc w:val="left"/>
      <w:pPr>
        <w:ind w:left="1571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02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193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324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815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306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37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28" w:hanging="2160"/>
      </w:pPr>
      <w:rPr>
        <w:rFonts w:hint="default"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462" w:hanging="720"/>
        <w:tabs>
          <w:tab w:val="num" w:pos="1462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204" w:hanging="720"/>
        <w:tabs>
          <w:tab w:val="num" w:pos="2204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3306" w:hanging="1080"/>
        <w:tabs>
          <w:tab w:val="num" w:pos="3306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4048" w:hanging="1080"/>
        <w:tabs>
          <w:tab w:val="num" w:pos="4048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5150" w:hanging="1440"/>
        <w:tabs>
          <w:tab w:val="num" w:pos="515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6252" w:hanging="1800"/>
        <w:tabs>
          <w:tab w:val="num" w:pos="6252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994" w:hanging="1800"/>
        <w:tabs>
          <w:tab w:val="num" w:pos="6994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096" w:hanging="2160"/>
        <w:tabs>
          <w:tab w:val="num" w:pos="8096" w:leader="none"/>
        </w:tabs>
      </w:pPr>
      <w:rPr>
        <w:rFonts w:hint="default" w:cs="Times New Roman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16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6"/>
    <w:link w:val="71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6"/>
    <w:link w:val="71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6"/>
    <w:link w:val="71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12"/>
    <w:next w:val="71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1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12"/>
    <w:next w:val="71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12"/>
    <w:next w:val="71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12"/>
    <w:next w:val="71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12"/>
    <w:next w:val="71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12"/>
    <w:next w:val="71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16"/>
    <w:link w:val="742"/>
    <w:uiPriority w:val="10"/>
    <w:rPr>
      <w:sz w:val="48"/>
      <w:szCs w:val="48"/>
    </w:rPr>
  </w:style>
  <w:style w:type="paragraph" w:styleId="37">
    <w:name w:val="Subtitle"/>
    <w:basedOn w:val="712"/>
    <w:next w:val="71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6"/>
    <w:link w:val="37"/>
    <w:uiPriority w:val="11"/>
    <w:rPr>
      <w:sz w:val="24"/>
      <w:szCs w:val="24"/>
    </w:rPr>
  </w:style>
  <w:style w:type="paragraph" w:styleId="39">
    <w:name w:val="Quote"/>
    <w:basedOn w:val="712"/>
    <w:next w:val="71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12"/>
    <w:next w:val="71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6"/>
    <w:link w:val="729"/>
    <w:uiPriority w:val="99"/>
  </w:style>
  <w:style w:type="character" w:styleId="46">
    <w:name w:val="Footer Char"/>
    <w:basedOn w:val="716"/>
    <w:link w:val="736"/>
    <w:uiPriority w:val="99"/>
  </w:style>
  <w:style w:type="paragraph" w:styleId="47">
    <w:name w:val="Caption"/>
    <w:basedOn w:val="712"/>
    <w:next w:val="71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1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6"/>
    <w:uiPriority w:val="99"/>
    <w:unhideWhenUsed/>
    <w:rPr>
      <w:vertAlign w:val="superscript"/>
    </w:rPr>
  </w:style>
  <w:style w:type="paragraph" w:styleId="179">
    <w:name w:val="endnote text"/>
    <w:basedOn w:val="71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6"/>
    <w:uiPriority w:val="99"/>
    <w:semiHidden/>
    <w:unhideWhenUsed/>
    <w:rPr>
      <w:vertAlign w:val="superscript"/>
    </w:rPr>
  </w:style>
  <w:style w:type="paragraph" w:styleId="182">
    <w:name w:val="toc 1"/>
    <w:basedOn w:val="712"/>
    <w:next w:val="71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12"/>
    <w:next w:val="71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12"/>
    <w:next w:val="712"/>
    <w:uiPriority w:val="99"/>
    <w:unhideWhenUsed/>
    <w:pPr>
      <w:spacing w:after="0" w:afterAutospacing="0"/>
    </w:pPr>
  </w:style>
  <w:style w:type="paragraph" w:styleId="712" w:default="1">
    <w:name w:val="Normal"/>
    <w:qFormat/>
    <w:rPr>
      <w:rFonts w:ascii="Arial" w:hAnsi="Arial" w:cs="Arial"/>
      <w:sz w:val="18"/>
      <w:szCs w:val="18"/>
    </w:rPr>
  </w:style>
  <w:style w:type="paragraph" w:styleId="713">
    <w:name w:val="Heading 1"/>
    <w:basedOn w:val="712"/>
    <w:next w:val="712"/>
    <w:link w:val="719"/>
    <w:uiPriority w:val="9"/>
    <w:qFormat/>
    <w:pPr>
      <w:jc w:val="center"/>
      <w:keepNext/>
      <w:outlineLvl w:val="0"/>
    </w:pPr>
    <w:rPr>
      <w:rFonts w:ascii="Cambria" w:hAnsi="Cambria" w:cs="Times New Roman"/>
      <w:b/>
      <w:sz w:val="32"/>
      <w:szCs w:val="20"/>
    </w:rPr>
  </w:style>
  <w:style w:type="paragraph" w:styleId="714">
    <w:name w:val="Heading 2"/>
    <w:basedOn w:val="712"/>
    <w:next w:val="712"/>
    <w:link w:val="720"/>
    <w:uiPriority w:val="9"/>
    <w:qFormat/>
    <w:pPr>
      <w:ind w:right="-1"/>
      <w:keepNext/>
      <w:tabs>
        <w:tab w:val="left" w:pos="9071" w:leader="none"/>
      </w:tabs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715">
    <w:name w:val="Heading 3"/>
    <w:basedOn w:val="712"/>
    <w:next w:val="712"/>
    <w:link w:val="721"/>
    <w:uiPriority w:val="9"/>
    <w:qFormat/>
    <w:pPr>
      <w:keepNext/>
      <w:outlineLvl w:val="2"/>
    </w:pPr>
    <w:rPr>
      <w:rFonts w:ascii="Cambria" w:hAnsi="Cambria" w:cs="Times New Roman"/>
      <w:b/>
      <w:sz w:val="26"/>
      <w:szCs w:val="20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link w:val="713"/>
    <w:uiPriority w:val="9"/>
    <w:rPr>
      <w:rFonts w:ascii="Cambria" w:hAnsi="Cambria" w:cs="Times New Roman"/>
      <w:b/>
      <w:sz w:val="32"/>
    </w:rPr>
  </w:style>
  <w:style w:type="character" w:styleId="720" w:customStyle="1">
    <w:name w:val="Заголовок 2 Знак"/>
    <w:link w:val="714"/>
    <w:uiPriority w:val="9"/>
    <w:semiHidden/>
    <w:rPr>
      <w:rFonts w:ascii="Cambria" w:hAnsi="Cambria" w:cs="Times New Roman"/>
      <w:b/>
      <w:i/>
      <w:sz w:val="28"/>
    </w:rPr>
  </w:style>
  <w:style w:type="character" w:styleId="721" w:customStyle="1">
    <w:name w:val="Заголовок 3 Знак"/>
    <w:link w:val="715"/>
    <w:uiPriority w:val="9"/>
    <w:semiHidden/>
    <w:rPr>
      <w:rFonts w:ascii="Cambria" w:hAnsi="Cambria" w:cs="Times New Roman"/>
      <w:b/>
      <w:sz w:val="26"/>
    </w:rPr>
  </w:style>
  <w:style w:type="character" w:styleId="722" w:customStyle="1">
    <w:name w:val="Основной шрифт"/>
    <w:uiPriority w:val="99"/>
  </w:style>
  <w:style w:type="paragraph" w:styleId="723">
    <w:name w:val="Body Text"/>
    <w:basedOn w:val="712"/>
    <w:link w:val="724"/>
    <w:uiPriority w:val="99"/>
    <w:pPr>
      <w:jc w:val="both"/>
    </w:pPr>
    <w:rPr>
      <w:rFonts w:cs="Times New Roman"/>
      <w:szCs w:val="20"/>
    </w:rPr>
  </w:style>
  <w:style w:type="character" w:styleId="724" w:customStyle="1">
    <w:name w:val="Основной текст Знак"/>
    <w:link w:val="723"/>
    <w:uiPriority w:val="99"/>
    <w:semiHidden/>
    <w:rPr>
      <w:rFonts w:ascii="Arial" w:hAnsi="Arial" w:cs="Times New Roman"/>
      <w:sz w:val="18"/>
    </w:rPr>
  </w:style>
  <w:style w:type="paragraph" w:styleId="725">
    <w:name w:val="Body Text 2"/>
    <w:basedOn w:val="712"/>
    <w:link w:val="726"/>
    <w:uiPriority w:val="99"/>
    <w:pPr>
      <w:ind w:firstLine="601"/>
      <w:jc w:val="both"/>
      <w:spacing w:line="360" w:lineRule="auto"/>
    </w:pPr>
    <w:rPr>
      <w:rFonts w:cs="Times New Roman"/>
      <w:szCs w:val="20"/>
    </w:rPr>
  </w:style>
  <w:style w:type="character" w:styleId="726" w:customStyle="1">
    <w:name w:val="Основной текст 2 Знак"/>
    <w:link w:val="725"/>
    <w:uiPriority w:val="99"/>
    <w:semiHidden/>
    <w:rPr>
      <w:rFonts w:ascii="Arial" w:hAnsi="Arial" w:cs="Times New Roman"/>
      <w:sz w:val="18"/>
    </w:rPr>
  </w:style>
  <w:style w:type="paragraph" w:styleId="727">
    <w:name w:val="Body Text Indent 2"/>
    <w:basedOn w:val="712"/>
    <w:link w:val="728"/>
    <w:uiPriority w:val="99"/>
    <w:pPr>
      <w:ind w:firstLine="742"/>
      <w:jc w:val="both"/>
    </w:pPr>
    <w:rPr>
      <w:rFonts w:cs="Times New Roman"/>
      <w:szCs w:val="20"/>
    </w:rPr>
  </w:style>
  <w:style w:type="character" w:styleId="728" w:customStyle="1">
    <w:name w:val="Основной текст с отступом 2 Знак"/>
    <w:link w:val="727"/>
    <w:uiPriority w:val="99"/>
    <w:semiHidden/>
    <w:rPr>
      <w:rFonts w:ascii="Arial" w:hAnsi="Arial" w:cs="Times New Roman"/>
      <w:sz w:val="18"/>
    </w:rPr>
  </w:style>
  <w:style w:type="paragraph" w:styleId="729">
    <w:name w:val="Header"/>
    <w:basedOn w:val="712"/>
    <w:link w:val="730"/>
    <w:uiPriority w:val="99"/>
    <w:pPr>
      <w:tabs>
        <w:tab w:val="center" w:pos="4677" w:leader="none"/>
        <w:tab w:val="right" w:pos="9355" w:leader="none"/>
      </w:tabs>
    </w:pPr>
    <w:rPr>
      <w:rFonts w:cs="Times New Roman"/>
      <w:szCs w:val="20"/>
    </w:rPr>
  </w:style>
  <w:style w:type="character" w:styleId="730" w:customStyle="1">
    <w:name w:val="Верхний колонтитул Знак"/>
    <w:link w:val="729"/>
    <w:uiPriority w:val="99"/>
    <w:rPr>
      <w:rFonts w:ascii="Arial" w:hAnsi="Arial" w:cs="Times New Roman"/>
      <w:sz w:val="18"/>
    </w:rPr>
  </w:style>
  <w:style w:type="character" w:styleId="731">
    <w:name w:val="page number"/>
    <w:uiPriority w:val="99"/>
    <w:rPr>
      <w:rFonts w:cs="Times New Roman"/>
    </w:rPr>
  </w:style>
  <w:style w:type="character" w:styleId="732">
    <w:name w:val="Hyperlink"/>
    <w:uiPriority w:val="99"/>
    <w:unhideWhenUsed/>
    <w:rPr>
      <w:rFonts w:cs="Times New Roman"/>
      <w:color w:val="0000ff"/>
      <w:u w:val="single"/>
    </w:rPr>
  </w:style>
  <w:style w:type="paragraph" w:styleId="733">
    <w:name w:val="Balloon Text"/>
    <w:basedOn w:val="712"/>
    <w:link w:val="734"/>
    <w:uiPriority w:val="99"/>
    <w:semiHidden/>
    <w:unhideWhenUsed/>
    <w:rPr>
      <w:rFonts w:ascii="Tahoma" w:hAnsi="Tahoma" w:cs="Times New Roman"/>
      <w:sz w:val="16"/>
      <w:szCs w:val="16"/>
    </w:rPr>
  </w:style>
  <w:style w:type="character" w:styleId="734" w:customStyle="1">
    <w:name w:val="Текст выноски Знак"/>
    <w:link w:val="733"/>
    <w:uiPriority w:val="99"/>
    <w:semiHidden/>
    <w:rPr>
      <w:rFonts w:ascii="Tahoma" w:hAnsi="Tahoma" w:cs="Tahoma"/>
      <w:sz w:val="16"/>
      <w:szCs w:val="16"/>
    </w:rPr>
  </w:style>
  <w:style w:type="paragraph" w:styleId="735">
    <w:name w:val="List Paragraph"/>
    <w:basedOn w:val="712"/>
    <w:uiPriority w:val="34"/>
    <w:qFormat/>
    <w:pPr>
      <w:ind w:left="708"/>
    </w:pPr>
  </w:style>
  <w:style w:type="paragraph" w:styleId="736">
    <w:name w:val="Footer"/>
    <w:basedOn w:val="712"/>
    <w:link w:val="7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Нижний колонтитул Знак"/>
    <w:basedOn w:val="716"/>
    <w:link w:val="736"/>
    <w:uiPriority w:val="99"/>
    <w:rPr>
      <w:rFonts w:ascii="Arial" w:hAnsi="Arial" w:cs="Arial"/>
      <w:sz w:val="18"/>
      <w:szCs w:val="18"/>
    </w:rPr>
  </w:style>
  <w:style w:type="table" w:styleId="738" w:customStyle="1">
    <w:name w:val="Table Normal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Table Normal1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Table Grid"/>
    <w:basedOn w:val="71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41">
    <w:name w:val="Emphasis"/>
    <w:basedOn w:val="716"/>
    <w:uiPriority w:val="20"/>
    <w:qFormat/>
    <w:rPr>
      <w:i/>
      <w:iCs/>
    </w:rPr>
  </w:style>
  <w:style w:type="paragraph" w:styleId="742">
    <w:name w:val="Title"/>
    <w:basedOn w:val="712"/>
    <w:link w:val="743"/>
    <w:qFormat/>
    <w:pPr>
      <w:jc w:val="center"/>
    </w:pPr>
    <w:rPr>
      <w:rFonts w:ascii="Bookman Old Style" w:hAnsi="Bookman Old Style" w:cs="Times New Roman"/>
      <w:sz w:val="28"/>
      <w:szCs w:val="24"/>
    </w:rPr>
  </w:style>
  <w:style w:type="character" w:styleId="743" w:customStyle="1">
    <w:name w:val="Название Знак"/>
    <w:basedOn w:val="716"/>
    <w:link w:val="742"/>
    <w:rPr>
      <w:rFonts w:ascii="Bookman Old Style" w:hAnsi="Bookman Old Style"/>
      <w:sz w:val="28"/>
      <w:szCs w:val="24"/>
    </w:rPr>
  </w:style>
  <w:style w:type="character" w:styleId="744" w:customStyle="1">
    <w:name w:val="Основной текст (2)_"/>
    <w:basedOn w:val="716"/>
    <w:link w:val="745"/>
    <w:rPr>
      <w:sz w:val="28"/>
      <w:szCs w:val="28"/>
      <w:shd w:val="clear" w:color="auto" w:fill="ffffff"/>
    </w:rPr>
  </w:style>
  <w:style w:type="paragraph" w:styleId="745" w:customStyle="1">
    <w:name w:val="Основной текст (2)"/>
    <w:basedOn w:val="712"/>
    <w:link w:val="744"/>
    <w:pPr>
      <w:spacing w:after="760" w:line="322" w:lineRule="exact"/>
      <w:shd w:val="clear" w:color="auto" w:fill="ffffff"/>
      <w:widowControl w:val="off"/>
    </w:pPr>
    <w:rPr>
      <w:rFonts w:ascii="Times New Roman" w:hAnsi="Times New Roman" w:cs="Times New Roman"/>
      <w:sz w:val="28"/>
      <w:szCs w:val="28"/>
    </w:rPr>
  </w:style>
  <w:style w:type="character" w:styleId="746" w:customStyle="1">
    <w:name w:val="Основной текст (2) + 9;5 pt"/>
    <w:basedOn w:val="744"/>
    <w:rPr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747" w:customStyle="1">
    <w:name w:val="Основной текст2"/>
    <w:qFormat/>
    <w:pPr>
      <w:ind w:firstLine="709"/>
      <w:jc w:val="both"/>
      <w:spacing w:after="12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 w:cs="Arial"/>
      <w:sz w:val="28"/>
      <w:szCs w:val="28"/>
      <w:lang w:eastAsia="en-US"/>
    </w:rPr>
  </w:style>
  <w:style w:type="paragraph" w:styleId="748">
    <w:name w:val="Body Text Indent"/>
    <w:basedOn w:val="712"/>
    <w:link w:val="749"/>
    <w:uiPriority w:val="99"/>
    <w:semiHidden/>
    <w:unhideWhenUsed/>
    <w:pPr>
      <w:ind w:left="283"/>
      <w:spacing w:after="120"/>
    </w:pPr>
  </w:style>
  <w:style w:type="character" w:styleId="749" w:customStyle="1">
    <w:name w:val="Основной текст с отступом Знак"/>
    <w:basedOn w:val="716"/>
    <w:link w:val="748"/>
    <w:uiPriority w:val="99"/>
    <w:semiHidden/>
    <w:rPr>
      <w:rFonts w:ascii="Arial" w:hAnsi="Arial" w:cs="Arial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7F7D-70D9-4FCB-850D-FFFBAAB1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5</cp:revision>
  <dcterms:created xsi:type="dcterms:W3CDTF">2026-02-11T06:13:00Z</dcterms:created>
  <dcterms:modified xsi:type="dcterms:W3CDTF">2026-02-13T13:02:02Z</dcterms:modified>
</cp:coreProperties>
</file>